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9316BA" w14:textId="77777777" w:rsidR="00A34163" w:rsidRDefault="00A34163">
      <w:pPr>
        <w:rPr>
          <w:rFonts w:cs="Cambria"/>
          <w:color w:val="000000"/>
          <w:sz w:val="20"/>
          <w:szCs w:val="20"/>
        </w:rPr>
      </w:pPr>
      <w:r>
        <w:rPr>
          <w:rFonts w:cs="Cambria"/>
          <w:noProof/>
          <w:color w:val="000000"/>
          <w:sz w:val="20"/>
          <w:szCs w:val="20"/>
        </w:rPr>
        <w:drawing>
          <wp:inline distT="0" distB="0" distL="0" distR="0" wp14:anchorId="5A86A907" wp14:editId="7B0F5F16">
            <wp:extent cx="5943600" cy="25691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569145"/>
                    </a:xfrm>
                    <a:prstGeom prst="rect">
                      <a:avLst/>
                    </a:prstGeom>
                    <a:noFill/>
                    <a:ln>
                      <a:noFill/>
                    </a:ln>
                  </pic:spPr>
                </pic:pic>
              </a:graphicData>
            </a:graphic>
          </wp:inline>
        </w:drawing>
      </w:r>
    </w:p>
    <w:p w14:paraId="35DBBF6D" w14:textId="77777777" w:rsidR="00A34163" w:rsidRDefault="00A34163">
      <w:pPr>
        <w:rPr>
          <w:rFonts w:cs="Cambria"/>
          <w:color w:val="000000"/>
          <w:sz w:val="20"/>
          <w:szCs w:val="20"/>
        </w:rPr>
      </w:pPr>
    </w:p>
    <w:p w14:paraId="4A4B9AFA" w14:textId="77777777" w:rsidR="00A34163" w:rsidRDefault="00A34163">
      <w:pPr>
        <w:rPr>
          <w:rFonts w:cs="Cambria"/>
          <w:color w:val="000000"/>
          <w:sz w:val="20"/>
          <w:szCs w:val="20"/>
        </w:rPr>
      </w:pPr>
      <w:r>
        <w:rPr>
          <w:rFonts w:cs="Cambria"/>
          <w:color w:val="000000"/>
          <w:sz w:val="20"/>
          <w:szCs w:val="20"/>
        </w:rPr>
        <w:t>Figure 1: We expect the following dynamics after running the model at varying feedback extents (</w:t>
      </w:r>
      <w:r>
        <w:rPr>
          <w:rFonts w:ascii="Cambria Math" w:hAnsi="Cambria Math" w:cs="Cambria Math"/>
          <w:color w:val="000000"/>
          <w:sz w:val="20"/>
          <w:szCs w:val="20"/>
        </w:rPr>
        <w:t>𝜎</w:t>
      </w:r>
      <w:r>
        <w:rPr>
          <w:rFonts w:cs="Cambria"/>
          <w:color w:val="000000"/>
          <w:sz w:val="20"/>
          <w:szCs w:val="20"/>
        </w:rPr>
        <w:t>) and strengths (</w:t>
      </w:r>
      <w:r>
        <w:rPr>
          <w:rFonts w:ascii="Cambria Math" w:hAnsi="Cambria Math" w:cs="Cambria Math"/>
          <w:color w:val="000000"/>
          <w:sz w:val="20"/>
          <w:szCs w:val="20"/>
        </w:rPr>
        <w:t>𝜙</w:t>
      </w:r>
      <w:r>
        <w:rPr>
          <w:rFonts w:cs="Cambria"/>
          <w:color w:val="000000"/>
          <w:sz w:val="20"/>
          <w:szCs w:val="20"/>
        </w:rPr>
        <w:t>). At low values of both initial conditions are expected to persist, or changes due to external forcings will be purely dependent on them. In the opposite high-</w:t>
      </w:r>
      <w:r>
        <w:rPr>
          <w:rFonts w:ascii="Cambria Math" w:hAnsi="Cambria Math" w:cs="Cambria Math"/>
          <w:color w:val="000000"/>
          <w:sz w:val="20"/>
          <w:szCs w:val="20"/>
        </w:rPr>
        <w:t>𝜎</w:t>
      </w:r>
      <w:r>
        <w:rPr>
          <w:rFonts w:cs="Cambria"/>
          <w:color w:val="000000"/>
          <w:sz w:val="20"/>
          <w:szCs w:val="20"/>
        </w:rPr>
        <w:t>, high-</w:t>
      </w:r>
      <w:r>
        <w:rPr>
          <w:rFonts w:ascii="Cambria Math" w:hAnsi="Cambria Math" w:cs="Cambria Math"/>
          <w:color w:val="000000"/>
          <w:sz w:val="20"/>
          <w:szCs w:val="20"/>
        </w:rPr>
        <w:t xml:space="preserve">𝜙 </w:t>
      </w:r>
      <w:r>
        <w:rPr>
          <w:rFonts w:cs="Cambria"/>
          <w:color w:val="000000"/>
          <w:sz w:val="20"/>
          <w:szCs w:val="20"/>
        </w:rPr>
        <w:t xml:space="preserve">quadrant we expect landscapes to exhibit widespread self-organized structure (with </w:t>
      </w:r>
      <w:r>
        <w:rPr>
          <w:rFonts w:cs="Cambria"/>
          <w:i/>
          <w:iCs/>
          <w:color w:val="000000"/>
          <w:sz w:val="20"/>
          <w:szCs w:val="20"/>
        </w:rPr>
        <w:t xml:space="preserve">structure </w:t>
      </w:r>
      <w:r>
        <w:rPr>
          <w:rFonts w:cs="Cambria"/>
          <w:color w:val="000000"/>
          <w:sz w:val="20"/>
          <w:szCs w:val="20"/>
        </w:rPr>
        <w:t>de ined as exhibiting a power-law size distribution.) as internal feedbacks are dominant. At high-</w:t>
      </w:r>
      <w:r>
        <w:rPr>
          <w:rFonts w:ascii="Cambria Math" w:hAnsi="Cambria Math" w:cs="Cambria Math"/>
          <w:color w:val="000000"/>
          <w:sz w:val="20"/>
          <w:szCs w:val="20"/>
        </w:rPr>
        <w:t>𝜎</w:t>
      </w:r>
      <w:r>
        <w:rPr>
          <w:rFonts w:cs="Cambria"/>
          <w:color w:val="000000"/>
          <w:sz w:val="20"/>
          <w:szCs w:val="20"/>
        </w:rPr>
        <w:t>, low</w:t>
      </w:r>
      <w:r>
        <w:rPr>
          <w:rFonts w:ascii="Cambria Math" w:hAnsi="Cambria Math" w:cs="Cambria Math"/>
          <w:color w:val="000000"/>
          <w:sz w:val="20"/>
          <w:szCs w:val="20"/>
        </w:rPr>
        <w:t xml:space="preserve">𝜙 </w:t>
      </w:r>
      <w:r>
        <w:rPr>
          <w:rFonts w:cs="Cambria"/>
          <w:color w:val="000000"/>
          <w:sz w:val="20"/>
          <w:szCs w:val="20"/>
        </w:rPr>
        <w:t>we expect landscape- wide stability without organization as they are stabilized by long-range feedbacks without strong enough short-range facilitation to lead to structure, and short-range structure without landscape-level effects in the opposite low-</w:t>
      </w:r>
      <w:r>
        <w:rPr>
          <w:rFonts w:ascii="Cambria Math" w:hAnsi="Cambria Math" w:cs="Cambria Math"/>
          <w:color w:val="000000"/>
          <w:sz w:val="20"/>
          <w:szCs w:val="20"/>
        </w:rPr>
        <w:t>𝜎</w:t>
      </w:r>
      <w:r>
        <w:rPr>
          <w:rFonts w:cs="Cambria"/>
          <w:color w:val="000000"/>
          <w:sz w:val="20"/>
          <w:szCs w:val="20"/>
        </w:rPr>
        <w:t>, high-</w:t>
      </w:r>
      <w:r>
        <w:rPr>
          <w:rFonts w:ascii="Cambria Math" w:hAnsi="Cambria Math" w:cs="Cambria Math"/>
          <w:color w:val="000000"/>
          <w:sz w:val="20"/>
          <w:szCs w:val="20"/>
        </w:rPr>
        <w:t xml:space="preserve">𝜙 </w:t>
      </w:r>
      <w:r>
        <w:rPr>
          <w:rFonts w:cs="Cambria"/>
          <w:color w:val="000000"/>
          <w:sz w:val="20"/>
          <w:szCs w:val="20"/>
        </w:rPr>
        <w:t>corner.</w:t>
      </w:r>
    </w:p>
    <w:p w14:paraId="5185559E" w14:textId="77777777" w:rsidR="005B5687" w:rsidRDefault="00A34163">
      <w:pPr>
        <w:rPr>
          <w:rFonts w:cs="Cambria"/>
          <w:color w:val="000000"/>
          <w:sz w:val="20"/>
          <w:szCs w:val="20"/>
        </w:rPr>
      </w:pPr>
      <w:r>
        <w:rPr>
          <w:rFonts w:cs="Cambria"/>
          <w:color w:val="000000"/>
          <w:sz w:val="20"/>
          <w:szCs w:val="20"/>
        </w:rPr>
        <w:br w:type="column"/>
      </w:r>
      <w:r>
        <w:rPr>
          <w:rFonts w:cs="Cambria"/>
          <w:noProof/>
          <w:color w:val="000000"/>
          <w:sz w:val="20"/>
          <w:szCs w:val="20"/>
        </w:rPr>
        <w:lastRenderedPageBreak/>
        <w:drawing>
          <wp:inline distT="0" distB="0" distL="0" distR="0" wp14:anchorId="17BFBE43" wp14:editId="31F2E024">
            <wp:extent cx="5943600" cy="1746695"/>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746695"/>
                    </a:xfrm>
                    <a:prstGeom prst="rect">
                      <a:avLst/>
                    </a:prstGeom>
                    <a:noFill/>
                    <a:ln>
                      <a:noFill/>
                    </a:ln>
                  </pic:spPr>
                </pic:pic>
              </a:graphicData>
            </a:graphic>
          </wp:inline>
        </w:drawing>
      </w:r>
    </w:p>
    <w:p w14:paraId="03325E5A" w14:textId="77777777" w:rsidR="00A34163" w:rsidRDefault="00A34163">
      <w:pPr>
        <w:rPr>
          <w:rFonts w:cs="Cambria"/>
          <w:color w:val="000000"/>
          <w:sz w:val="20"/>
          <w:szCs w:val="20"/>
        </w:rPr>
      </w:pPr>
      <w:r>
        <w:rPr>
          <w:rFonts w:cs="Cambria"/>
          <w:color w:val="000000"/>
          <w:sz w:val="20"/>
          <w:szCs w:val="20"/>
        </w:rPr>
        <w:t xml:space="preserve">Figure 2: Diagram of model progression over each timestep: moving from </w:t>
      </w:r>
      <w:r>
        <w:rPr>
          <w:rFonts w:ascii="Cambria Math" w:hAnsi="Cambria Math" w:cs="Cambria Math"/>
          <w:color w:val="000000"/>
          <w:sz w:val="20"/>
          <w:szCs w:val="20"/>
        </w:rPr>
        <w:t>𝑆</w:t>
      </w:r>
      <w:r>
        <w:rPr>
          <w:rFonts w:ascii="Cambria Math" w:hAnsi="Cambria Math" w:cs="Cambria Math"/>
          <w:color w:val="000000"/>
          <w:position w:val="-4"/>
          <w:sz w:val="14"/>
          <w:szCs w:val="14"/>
        </w:rPr>
        <w:t xml:space="preserve">  </w:t>
      </w:r>
      <w:r>
        <w:rPr>
          <w:rFonts w:cs="Cambria"/>
          <w:color w:val="000000"/>
          <w:sz w:val="20"/>
          <w:szCs w:val="20"/>
        </w:rPr>
        <w:t xml:space="preserve">to </w:t>
      </w:r>
      <w:r>
        <w:rPr>
          <w:rFonts w:ascii="Cambria Math" w:hAnsi="Cambria Math" w:cs="Cambria Math"/>
          <w:color w:val="000000"/>
          <w:sz w:val="20"/>
          <w:szCs w:val="20"/>
        </w:rPr>
        <w:t xml:space="preserve">𝑈 </w:t>
      </w:r>
      <w:r>
        <w:rPr>
          <w:rFonts w:cs="Cambria"/>
          <w:color w:val="000000"/>
          <w:sz w:val="20"/>
          <w:szCs w:val="20"/>
        </w:rPr>
        <w:t xml:space="preserve">we Gaussian blur the initial state grid at a variance </w:t>
      </w:r>
      <w:r>
        <w:rPr>
          <w:rFonts w:ascii="Cambria Math" w:hAnsi="Cambria Math" w:cs="Cambria Math"/>
          <w:color w:val="000000"/>
          <w:sz w:val="20"/>
          <w:szCs w:val="20"/>
        </w:rPr>
        <w:t>𝜎</w:t>
      </w:r>
      <w:r>
        <w:rPr>
          <w:rFonts w:cs="Cambria"/>
          <w:color w:val="000000"/>
          <w:sz w:val="20"/>
          <w:szCs w:val="20"/>
        </w:rPr>
        <w:t xml:space="preserve">. The probability that any given site </w:t>
      </w:r>
      <w:r>
        <w:rPr>
          <w:rFonts w:ascii="Cambria Math" w:hAnsi="Cambria Math" w:cs="Cambria Math"/>
          <w:color w:val="000000"/>
          <w:sz w:val="20"/>
          <w:szCs w:val="20"/>
        </w:rPr>
        <w:t xml:space="preserve">𝑥 </w:t>
      </w:r>
      <w:r>
        <w:rPr>
          <w:rFonts w:cs="Cambria"/>
          <w:color w:val="000000"/>
          <w:sz w:val="20"/>
          <w:szCs w:val="20"/>
        </w:rPr>
        <w:t xml:space="preserve">on </w:t>
      </w:r>
      <w:r>
        <w:rPr>
          <w:rFonts w:ascii="Cambria Math" w:hAnsi="Cambria Math" w:cs="Cambria Math"/>
          <w:color w:val="000000"/>
          <w:sz w:val="20"/>
          <w:szCs w:val="20"/>
        </w:rPr>
        <w:t xml:space="preserve">𝑉 </w:t>
      </w:r>
      <w:r>
        <w:rPr>
          <w:rFonts w:cs="Cambria"/>
          <w:color w:val="000000"/>
          <w:sz w:val="20"/>
          <w:szCs w:val="20"/>
        </w:rPr>
        <w:t xml:space="preserve">will be occupied is given by </w:t>
      </w:r>
      <w:r>
        <w:rPr>
          <w:rFonts w:ascii="Cambria Math" w:hAnsi="Cambria Math" w:cs="Cambria Math"/>
          <w:color w:val="000000"/>
          <w:sz w:val="20"/>
          <w:szCs w:val="20"/>
        </w:rPr>
        <w:t>𝜙𝑈</w:t>
      </w:r>
      <w:r>
        <w:rPr>
          <w:rFonts w:ascii="Cambria Math" w:hAnsi="Cambria Math" w:cs="Cambria Math"/>
          <w:color w:val="000000"/>
          <w:position w:val="-4"/>
          <w:sz w:val="14"/>
          <w:szCs w:val="14"/>
        </w:rPr>
        <w:t xml:space="preserve">  </w:t>
      </w:r>
      <w:r>
        <w:rPr>
          <w:rFonts w:ascii="Cambria Math" w:hAnsi="Cambria Math" w:cs="Cambria Math"/>
          <w:color w:val="000000"/>
          <w:sz w:val="20"/>
          <w:szCs w:val="20"/>
        </w:rPr>
        <w:t>+ (1 − 𝜙)𝑆</w:t>
      </w:r>
      <w:r>
        <w:rPr>
          <w:rFonts w:ascii="Cambria Math" w:hAnsi="Cambria Math" w:cs="Cambria Math"/>
          <w:color w:val="000000"/>
          <w:position w:val="-4"/>
          <w:sz w:val="14"/>
          <w:szCs w:val="14"/>
        </w:rPr>
        <w:t xml:space="preserve"> </w:t>
      </w:r>
      <w:r>
        <w:rPr>
          <w:rFonts w:cs="Cambria"/>
          <w:color w:val="000000"/>
          <w:sz w:val="20"/>
          <w:szCs w:val="20"/>
        </w:rPr>
        <w:t xml:space="preserve">, resolving into values of 0 or 1. Grids randomly generated for establishment </w:t>
      </w:r>
      <w:r>
        <w:rPr>
          <w:rFonts w:ascii="Cambria Math" w:hAnsi="Cambria Math" w:cs="Cambria Math"/>
          <w:color w:val="000000"/>
          <w:sz w:val="20"/>
          <w:szCs w:val="20"/>
        </w:rPr>
        <w:t xml:space="preserve">𝐸 </w:t>
      </w:r>
      <w:r>
        <w:rPr>
          <w:rFonts w:cs="Cambria"/>
          <w:color w:val="000000"/>
          <w:sz w:val="20"/>
          <w:szCs w:val="20"/>
        </w:rPr>
        <w:t xml:space="preserve">and mortality </w:t>
      </w:r>
      <w:r>
        <w:rPr>
          <w:rFonts w:ascii="Cambria Math" w:hAnsi="Cambria Math" w:cs="Cambria Math"/>
          <w:color w:val="000000"/>
          <w:sz w:val="20"/>
          <w:szCs w:val="20"/>
        </w:rPr>
        <w:t xml:space="preserve">𝑀𝐸 </w:t>
      </w:r>
      <w:r>
        <w:rPr>
          <w:rFonts w:cs="Cambria"/>
          <w:color w:val="000000"/>
          <w:sz w:val="20"/>
          <w:szCs w:val="20"/>
        </w:rPr>
        <w:t xml:space="preserve">(with cells magni ied here for demonstration) are then added and subtracted, yielding </w:t>
      </w:r>
      <w:r>
        <w:rPr>
          <w:rFonts w:ascii="Cambria Math" w:hAnsi="Cambria Math" w:cs="Cambria Math"/>
          <w:color w:val="000000"/>
          <w:sz w:val="20"/>
          <w:szCs w:val="20"/>
        </w:rPr>
        <w:t>𝑆</w:t>
      </w:r>
      <w:r>
        <w:rPr>
          <w:rFonts w:ascii="Cambria Math" w:hAnsi="Cambria Math" w:cs="Cambria Math"/>
          <w:color w:val="000000"/>
          <w:position w:val="-4"/>
          <w:sz w:val="14"/>
          <w:szCs w:val="14"/>
        </w:rPr>
        <w:t xml:space="preserve"> </w:t>
      </w:r>
      <w:r>
        <w:rPr>
          <w:rFonts w:cs="Cambria"/>
          <w:color w:val="000000"/>
          <w:sz w:val="20"/>
          <w:szCs w:val="20"/>
        </w:rPr>
        <w:t>. Landscapes depicted are 1% as large as landscapes used in mode</w:t>
      </w:r>
    </w:p>
    <w:p w14:paraId="3E5A4EE7" w14:textId="77777777" w:rsidR="00A34163" w:rsidRDefault="00A34163">
      <w:pPr>
        <w:rPr>
          <w:rFonts w:cs="Cambria"/>
          <w:color w:val="000000"/>
          <w:sz w:val="20"/>
          <w:szCs w:val="20"/>
        </w:rPr>
      </w:pPr>
      <w:r>
        <w:rPr>
          <w:rFonts w:cs="Cambria"/>
          <w:color w:val="000000"/>
          <w:sz w:val="20"/>
          <w:szCs w:val="20"/>
        </w:rPr>
        <w:br w:type="column"/>
      </w:r>
      <w:r>
        <w:rPr>
          <w:rFonts w:cs="Cambria"/>
          <w:noProof/>
          <w:color w:val="000000"/>
          <w:sz w:val="20"/>
          <w:szCs w:val="20"/>
        </w:rPr>
        <w:drawing>
          <wp:inline distT="0" distB="0" distL="0" distR="0" wp14:anchorId="4D8D89B6" wp14:editId="49E8F3A4">
            <wp:extent cx="5943600" cy="7176641"/>
            <wp:effectExtent l="0" t="0" r="0" b="120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7176641"/>
                    </a:xfrm>
                    <a:prstGeom prst="rect">
                      <a:avLst/>
                    </a:prstGeom>
                    <a:noFill/>
                    <a:ln>
                      <a:noFill/>
                    </a:ln>
                  </pic:spPr>
                </pic:pic>
              </a:graphicData>
            </a:graphic>
          </wp:inline>
        </w:drawing>
      </w:r>
    </w:p>
    <w:p w14:paraId="6ED98BA3" w14:textId="3B6FB63C" w:rsidR="008D5968" w:rsidRDefault="00A34163">
      <w:pPr>
        <w:rPr>
          <w:rFonts w:cs="Cambria"/>
          <w:color w:val="000000"/>
          <w:sz w:val="20"/>
          <w:szCs w:val="20"/>
        </w:rPr>
      </w:pPr>
      <w:r>
        <w:rPr>
          <w:rFonts w:cs="Cambria"/>
          <w:color w:val="000000"/>
          <w:sz w:val="20"/>
          <w:szCs w:val="20"/>
        </w:rPr>
        <w:t xml:space="preserve">Figure 3: Land cover </w:t>
      </w:r>
      <m:oMath>
        <m:sSub>
          <m:sSubPr>
            <m:ctrlPr>
              <w:rPr>
                <w:rFonts w:ascii="Cambria Math" w:hAnsi="Cambria Math" w:cs="Cambria"/>
                <w:i/>
                <w:color w:val="000000"/>
                <w:sz w:val="20"/>
                <w:szCs w:val="20"/>
              </w:rPr>
            </m:ctrlPr>
          </m:sSubPr>
          <m:e>
            <m:r>
              <w:rPr>
                <w:rFonts w:ascii="Cambria Math" w:hAnsi="Cambria Math" w:cs="Cambria"/>
                <w:color w:val="000000"/>
                <w:sz w:val="20"/>
                <w:szCs w:val="20"/>
              </w:rPr>
              <m:t>c</m:t>
            </m:r>
          </m:e>
          <m:sub>
            <m:r>
              <w:rPr>
                <w:rFonts w:ascii="Cambria Math" w:hAnsi="Cambria Math" w:cs="Cambria"/>
                <w:color w:val="000000"/>
                <w:sz w:val="20"/>
                <w:szCs w:val="20"/>
              </w:rPr>
              <m:t>500</m:t>
            </m:r>
          </m:sub>
        </m:sSub>
      </m:oMath>
      <w:r>
        <w:rPr>
          <w:rFonts w:ascii="Cambria Math" w:hAnsi="Cambria Math" w:cs="Cambria Math"/>
          <w:color w:val="000000"/>
          <w:sz w:val="20"/>
          <w:szCs w:val="20"/>
        </w:rPr>
        <w:t xml:space="preserve"> </w:t>
      </w:r>
      <w:r>
        <w:rPr>
          <w:rFonts w:cs="Cambria"/>
          <w:color w:val="000000"/>
          <w:sz w:val="20"/>
          <w:szCs w:val="20"/>
        </w:rPr>
        <w:t xml:space="preserve">and power law probability </w:t>
      </w:r>
      <w:r>
        <w:rPr>
          <w:rFonts w:ascii="Cambria Math" w:hAnsi="Cambria Math" w:cs="Cambria Math"/>
          <w:color w:val="000000"/>
          <w:sz w:val="20"/>
          <w:szCs w:val="20"/>
        </w:rPr>
        <w:t xml:space="preserve">𝑝 </w:t>
      </w:r>
      <w:r>
        <w:rPr>
          <w:rFonts w:cs="Cambria"/>
          <w:color w:val="000000"/>
          <w:sz w:val="20"/>
          <w:szCs w:val="20"/>
        </w:rPr>
        <w:t xml:space="preserve">for each </w:t>
      </w:r>
      <w:r>
        <w:rPr>
          <w:rFonts w:ascii="Cambria Math" w:hAnsi="Cambria Math" w:cs="Cambria Math"/>
          <w:color w:val="000000"/>
          <w:sz w:val="20"/>
          <w:szCs w:val="20"/>
        </w:rPr>
        <w:t xml:space="preserve">(𝜎, 𝜙) </w:t>
      </w:r>
      <w:r>
        <w:rPr>
          <w:rFonts w:cs="Cambria"/>
          <w:color w:val="000000"/>
          <w:sz w:val="20"/>
          <w:szCs w:val="20"/>
        </w:rPr>
        <w:t xml:space="preserve">space, with each </w:t>
      </w:r>
      <w:r>
        <w:rPr>
          <w:rFonts w:ascii="Cambria Math" w:hAnsi="Cambria Math" w:cs="Cambria Math"/>
          <w:color w:val="000000"/>
          <w:sz w:val="20"/>
          <w:szCs w:val="20"/>
        </w:rPr>
        <w:t xml:space="preserve">(𝜎, 𝜙) </w:t>
      </w:r>
      <w:r>
        <w:rPr>
          <w:rFonts w:cs="Cambria"/>
          <w:color w:val="000000"/>
          <w:sz w:val="20"/>
          <w:szCs w:val="20"/>
        </w:rPr>
        <w:t xml:space="preserve">surface arranged according to mortality/establishment ratio </w:t>
      </w:r>
      <w:r>
        <w:rPr>
          <w:rFonts w:ascii="Cambria Math" w:hAnsi="Cambria Math" w:cs="Cambria Math"/>
          <w:color w:val="000000"/>
          <w:sz w:val="20"/>
          <w:szCs w:val="20"/>
        </w:rPr>
        <w:t xml:space="preserve">𝑀 </w:t>
      </w:r>
      <w:r>
        <w:rPr>
          <w:rFonts w:cs="Cambria"/>
          <w:color w:val="000000"/>
          <w:sz w:val="20"/>
          <w:szCs w:val="20"/>
        </w:rPr>
        <w:t>and rows based on initial starting population</w:t>
      </w:r>
      <w:r>
        <w:rPr>
          <w:rFonts w:ascii="Cambria Math" w:hAnsi="Cambria Math" w:cs="Cambria Math"/>
          <w:color w:val="000000"/>
          <w:sz w:val="20"/>
          <w:szCs w:val="20"/>
        </w:rPr>
        <w:t>𝑐</w:t>
      </w:r>
      <w:r>
        <w:rPr>
          <w:rFonts w:ascii="Cambria Math" w:hAnsi="Cambria Math" w:cs="Cambria Math"/>
          <w:color w:val="000000"/>
          <w:position w:val="-4"/>
          <w:sz w:val="14"/>
          <w:szCs w:val="14"/>
        </w:rPr>
        <w:t xml:space="preserve">  </w:t>
      </w:r>
      <w:r>
        <w:rPr>
          <w:rFonts w:cs="Cambria"/>
          <w:color w:val="000000"/>
          <w:sz w:val="20"/>
          <w:szCs w:val="20"/>
        </w:rPr>
        <w:t xml:space="preserve">and outside variability </w:t>
      </w:r>
      <w:r>
        <w:rPr>
          <w:rFonts w:ascii="Cambria Math" w:hAnsi="Cambria Math" w:cs="Cambria Math"/>
          <w:color w:val="000000"/>
          <w:sz w:val="20"/>
          <w:szCs w:val="20"/>
        </w:rPr>
        <w:t>𝛽</w:t>
      </w:r>
      <w:r>
        <w:rPr>
          <w:rFonts w:cs="Cambria"/>
          <w:color w:val="000000"/>
          <w:sz w:val="20"/>
          <w:szCs w:val="20"/>
        </w:rPr>
        <w:t>; row numbering is consistent across  igures (e.g. row a. always describes</w:t>
      </w:r>
      <w:r w:rsidR="00FE5D81">
        <w:rPr>
          <w:rFonts w:ascii="Cambria Math" w:hAnsi="Cambria Math" w:cs="Cambria Math"/>
          <w:color w:val="000000"/>
          <w:sz w:val="20"/>
          <w:szCs w:val="20"/>
        </w:rPr>
        <w:t xml:space="preserve"> </w:t>
      </w:r>
      <w:r w:rsidR="00FE5D81">
        <w:rPr>
          <w:rFonts w:cs="Cambria"/>
          <w:color w:val="000000"/>
          <w:sz w:val="20"/>
          <w:szCs w:val="20"/>
        </w:rPr>
        <w:t xml:space="preserve"> </w:t>
      </w:r>
      <m:oMath>
        <m:sSub>
          <m:sSubPr>
            <m:ctrlPr>
              <w:rPr>
                <w:rFonts w:ascii="Cambria Math" w:hAnsi="Cambria Math" w:cs="Cambria"/>
                <w:i/>
                <w:color w:val="000000"/>
                <w:sz w:val="20"/>
                <w:szCs w:val="20"/>
              </w:rPr>
            </m:ctrlPr>
          </m:sSubPr>
          <m:e>
            <m:r>
              <w:rPr>
                <w:rFonts w:ascii="Cambria Math" w:hAnsi="Cambria Math" w:cs="Cambria"/>
                <w:color w:val="000000"/>
                <w:sz w:val="20"/>
                <w:szCs w:val="20"/>
              </w:rPr>
              <m:t>c</m:t>
            </m:r>
          </m:e>
          <m:sub>
            <m:r>
              <w:rPr>
                <w:rFonts w:ascii="Cambria Math" w:hAnsi="Cambria Math" w:cs="Cambria"/>
                <w:color w:val="000000"/>
                <w:sz w:val="20"/>
                <w:szCs w:val="20"/>
              </w:rPr>
              <m:t>0</m:t>
            </m:r>
          </m:sub>
        </m:sSub>
        <m:r>
          <w:rPr>
            <w:rFonts w:ascii="Cambria Math" w:hAnsi="Cambria Math" w:cs="Cambria"/>
            <w:color w:val="000000"/>
            <w:sz w:val="20"/>
            <w:szCs w:val="20"/>
          </w:rPr>
          <m:t>=0.35</m:t>
        </m:r>
        <m:r>
          <w:rPr>
            <w:rFonts w:ascii="Cambria Math" w:hAnsi="Cambria Math" w:cs="Cambria"/>
            <w:color w:val="000000"/>
            <w:sz w:val="20"/>
            <w:szCs w:val="20"/>
          </w:rPr>
          <m:t>, β=1</m:t>
        </m:r>
      </m:oMath>
      <w:r>
        <w:rPr>
          <w:rFonts w:ascii="Cambria Math" w:hAnsi="Cambria Math" w:cs="Cambria Math"/>
          <w:color w:val="000000"/>
          <w:sz w:val="20"/>
          <w:szCs w:val="20"/>
        </w:rPr>
        <w:t xml:space="preserve"> </w:t>
      </w:r>
      <w:r>
        <w:rPr>
          <w:rFonts w:cs="Cambria"/>
          <w:color w:val="000000"/>
          <w:sz w:val="20"/>
          <w:szCs w:val="20"/>
        </w:rPr>
        <w:t xml:space="preserve">in  igure 4 as well); </w:t>
      </w:r>
      <m:oMath>
        <m:sSub>
          <m:sSubPr>
            <m:ctrlPr>
              <w:rPr>
                <w:rFonts w:ascii="Cambria Math" w:hAnsi="Cambria Math" w:cs="Cambria"/>
                <w:i/>
                <w:color w:val="000000"/>
                <w:sz w:val="20"/>
                <w:szCs w:val="20"/>
              </w:rPr>
            </m:ctrlPr>
          </m:sSubPr>
          <m:e>
            <m:r>
              <w:rPr>
                <w:rFonts w:ascii="Cambria Math" w:hAnsi="Cambria Math" w:cs="Cambria"/>
                <w:color w:val="000000"/>
                <w:sz w:val="20"/>
                <w:szCs w:val="20"/>
              </w:rPr>
              <m:t>c</m:t>
            </m:r>
          </m:e>
          <m:sub>
            <m:r>
              <w:rPr>
                <w:rFonts w:ascii="Cambria Math" w:hAnsi="Cambria Math" w:cs="Cambria"/>
                <w:color w:val="000000"/>
                <w:sz w:val="20"/>
                <w:szCs w:val="20"/>
              </w:rPr>
              <m:t>0</m:t>
            </m:r>
          </m:sub>
        </m:sSub>
        <m:r>
          <w:rPr>
            <w:rFonts w:ascii="Cambria Math" w:hAnsi="Cambria Math" w:cs="Cambria"/>
            <w:color w:val="000000"/>
            <w:sz w:val="20"/>
            <w:szCs w:val="20"/>
          </w:rPr>
          <m:t>=0.5</m:t>
        </m:r>
        <m:r>
          <w:rPr>
            <w:rFonts w:ascii="Cambria Math" w:hAnsi="Cambria Math" w:cs="Cambria"/>
            <w:color w:val="000000"/>
            <w:sz w:val="20"/>
            <w:szCs w:val="20"/>
          </w:rPr>
          <m:t>, β=</m:t>
        </m:r>
        <m:r>
          <w:rPr>
            <w:rFonts w:ascii="Cambria Math" w:hAnsi="Cambria Math" w:cs="Cambria"/>
            <w:color w:val="000000"/>
            <w:sz w:val="20"/>
            <w:szCs w:val="20"/>
          </w:rPr>
          <m:t xml:space="preserve">5 </m:t>
        </m:r>
      </m:oMath>
      <w:r>
        <w:rPr>
          <w:rFonts w:cs="Cambria"/>
          <w:color w:val="000000"/>
          <w:sz w:val="20"/>
          <w:szCs w:val="20"/>
        </w:rPr>
        <w:t xml:space="preserve">is excluded since it has similar cover dynamics as </w:t>
      </w:r>
      <w:r>
        <w:rPr>
          <w:rFonts w:ascii="Cambria Math" w:hAnsi="Cambria Math" w:cs="Cambria Math"/>
          <w:color w:val="000000"/>
          <w:sz w:val="20"/>
          <w:szCs w:val="20"/>
        </w:rPr>
        <w:t>𝑐</w:t>
      </w:r>
      <w:r>
        <w:rPr>
          <w:rFonts w:ascii="Cambria Math" w:hAnsi="Cambria Math" w:cs="Cambria Math"/>
          <w:color w:val="000000"/>
          <w:position w:val="-4"/>
          <w:sz w:val="14"/>
          <w:szCs w:val="14"/>
        </w:rPr>
        <w:t xml:space="preserve">  </w:t>
      </w:r>
      <w:r>
        <w:rPr>
          <w:rFonts w:ascii="Cambria Math" w:hAnsi="Cambria Math" w:cs="Cambria Math"/>
          <w:color w:val="000000"/>
          <w:sz w:val="20"/>
          <w:szCs w:val="20"/>
        </w:rPr>
        <w:t xml:space="preserve">= 0.5, 𝛽 = 5 </w:t>
      </w:r>
      <w:r>
        <w:rPr>
          <w:rFonts w:cs="Cambria"/>
          <w:color w:val="000000"/>
          <w:sz w:val="20"/>
          <w:szCs w:val="20"/>
        </w:rPr>
        <w:t xml:space="preserve">and the effects of increasing </w:t>
      </w:r>
      <w:r>
        <w:rPr>
          <w:rFonts w:ascii="Cambria Math" w:hAnsi="Cambria Math" w:cs="Cambria Math"/>
          <w:color w:val="000000"/>
          <w:sz w:val="20"/>
          <w:szCs w:val="20"/>
        </w:rPr>
        <w:t xml:space="preserve">𝛽 </w:t>
      </w:r>
      <w:r>
        <w:rPr>
          <w:rFonts w:cs="Cambria"/>
          <w:color w:val="000000"/>
          <w:sz w:val="20"/>
          <w:szCs w:val="20"/>
        </w:rPr>
        <w:t xml:space="preserve">on clster morphology are similar to </w:t>
      </w:r>
      <w:r>
        <w:rPr>
          <w:rFonts w:ascii="Cambria Math" w:hAnsi="Cambria Math" w:cs="Cambria Math"/>
          <w:color w:val="000000"/>
          <w:sz w:val="20"/>
          <w:szCs w:val="20"/>
        </w:rPr>
        <w:t>𝑐</w:t>
      </w:r>
      <w:r>
        <w:rPr>
          <w:rFonts w:ascii="Cambria Math" w:hAnsi="Cambria Math" w:cs="Cambria Math"/>
          <w:color w:val="000000"/>
          <w:position w:val="-4"/>
          <w:sz w:val="14"/>
          <w:szCs w:val="14"/>
        </w:rPr>
        <w:t xml:space="preserve">  </w:t>
      </w:r>
      <w:r>
        <w:rPr>
          <w:rFonts w:ascii="Cambria Math" w:hAnsi="Cambria Math" w:cs="Cambria Math"/>
          <w:color w:val="000000"/>
          <w:sz w:val="20"/>
          <w:szCs w:val="20"/>
        </w:rPr>
        <w:t xml:space="preserve">= 0.35, 𝛽 = 5 </w:t>
      </w:r>
      <w:r>
        <w:rPr>
          <w:rFonts w:cs="Cambria"/>
          <w:color w:val="000000"/>
          <w:sz w:val="20"/>
          <w:szCs w:val="20"/>
        </w:rPr>
        <w:t xml:space="preserve">( igure 5). Since cover in the “high” state is regulated by the overall mortality ratio, the colorbars indicating state are scaled by mortality ratio, not absolute levels of cover. The wireframe surface represents power law probability </w:t>
      </w:r>
      <w:r>
        <w:rPr>
          <w:rFonts w:ascii="Cambria Math" w:hAnsi="Cambria Math" w:cs="Cambria Math"/>
          <w:color w:val="000000"/>
          <w:sz w:val="20"/>
          <w:szCs w:val="20"/>
        </w:rPr>
        <w:t>𝑝</w:t>
      </w:r>
      <w:r>
        <w:rPr>
          <w:rFonts w:cs="Cambria"/>
          <w:color w:val="000000"/>
          <w:sz w:val="20"/>
          <w:szCs w:val="20"/>
        </w:rPr>
        <w:t xml:space="preserve">. Note the special case at </w:t>
      </w:r>
      <w:r>
        <w:rPr>
          <w:rFonts w:ascii="Cambria Math" w:hAnsi="Cambria Math" w:cs="Cambria Math"/>
          <w:color w:val="000000"/>
          <w:sz w:val="20"/>
          <w:szCs w:val="20"/>
        </w:rPr>
        <w:t>𝑀 = 1, 𝑐</w:t>
      </w:r>
      <w:r>
        <w:rPr>
          <w:rFonts w:ascii="Cambria Math" w:hAnsi="Cambria Math" w:cs="Cambria Math"/>
          <w:color w:val="000000"/>
          <w:position w:val="-4"/>
          <w:sz w:val="14"/>
          <w:szCs w:val="14"/>
        </w:rPr>
        <w:t xml:space="preserve">  </w:t>
      </w:r>
      <w:r>
        <w:rPr>
          <w:rFonts w:ascii="Cambria Math" w:hAnsi="Cambria Math" w:cs="Cambria Math"/>
          <w:color w:val="000000"/>
          <w:sz w:val="20"/>
          <w:szCs w:val="20"/>
        </w:rPr>
        <w:t xml:space="preserve">= 0.5, 𝛽 = 1 </w:t>
      </w:r>
      <w:r>
        <w:rPr>
          <w:rFonts w:cs="Cambria"/>
          <w:color w:val="000000"/>
          <w:sz w:val="20"/>
          <w:szCs w:val="20"/>
        </w:rPr>
        <w:t>where cover is uniform across the (</w:t>
      </w:r>
      <w:r>
        <w:rPr>
          <w:rFonts w:ascii="Cambria Math" w:hAnsi="Cambria Math" w:cs="Cambria Math"/>
          <w:color w:val="000000"/>
          <w:sz w:val="20"/>
          <w:szCs w:val="20"/>
        </w:rPr>
        <w:t>𝜎, 𝜙</w:t>
      </w:r>
      <w:r>
        <w:rPr>
          <w:rFonts w:cs="Cambria"/>
          <w:color w:val="000000"/>
          <w:sz w:val="20"/>
          <w:szCs w:val="20"/>
        </w:rPr>
        <w:t>) surface but power law probability varies.</w:t>
      </w:r>
    </w:p>
    <w:p w14:paraId="5C1D8A3A" w14:textId="77813ED9" w:rsidR="008D5968" w:rsidRDefault="008D5968">
      <w:pPr>
        <w:rPr>
          <w:rFonts w:cs="Cambria"/>
          <w:color w:val="000000"/>
          <w:sz w:val="20"/>
          <w:szCs w:val="20"/>
        </w:rPr>
      </w:pPr>
      <w:r>
        <w:rPr>
          <w:rFonts w:cs="Cambria"/>
          <w:color w:val="000000"/>
          <w:sz w:val="20"/>
          <w:szCs w:val="20"/>
        </w:rPr>
        <w:br w:type="column"/>
      </w:r>
      <w:r>
        <w:rPr>
          <w:rFonts w:cs="Cambria"/>
          <w:noProof/>
          <w:color w:val="000000"/>
          <w:sz w:val="20"/>
          <w:szCs w:val="20"/>
        </w:rPr>
        <w:drawing>
          <wp:inline distT="0" distB="0" distL="0" distR="0" wp14:anchorId="21C6298D" wp14:editId="150DD7E2">
            <wp:extent cx="5943600" cy="4206644"/>
            <wp:effectExtent l="0" t="0" r="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206644"/>
                    </a:xfrm>
                    <a:prstGeom prst="rect">
                      <a:avLst/>
                    </a:prstGeom>
                    <a:noFill/>
                    <a:ln>
                      <a:noFill/>
                    </a:ln>
                  </pic:spPr>
                </pic:pic>
              </a:graphicData>
            </a:graphic>
          </wp:inline>
        </w:drawing>
      </w:r>
    </w:p>
    <w:p w14:paraId="45BA7431" w14:textId="77777777" w:rsidR="008D5968" w:rsidRDefault="008D5968">
      <w:pPr>
        <w:rPr>
          <w:rFonts w:cs="Cambria"/>
          <w:color w:val="000000"/>
          <w:sz w:val="20"/>
          <w:szCs w:val="20"/>
        </w:rPr>
      </w:pPr>
    </w:p>
    <w:p w14:paraId="1D084981" w14:textId="299AC2DE" w:rsidR="00FB3B6D" w:rsidRDefault="008D5968">
      <w:pPr>
        <w:rPr>
          <w:rFonts w:ascii="Cambria Math" w:hAnsi="Cambria Math" w:cs="Cambria Math"/>
          <w:color w:val="000000"/>
          <w:sz w:val="20"/>
          <w:szCs w:val="20"/>
        </w:rPr>
      </w:pPr>
      <w:r>
        <w:rPr>
          <w:rFonts w:cs="Cambria"/>
          <w:color w:val="000000"/>
          <w:sz w:val="20"/>
          <w:szCs w:val="20"/>
        </w:rPr>
        <w:t xml:space="preserve">Figure 4: Examples of land cover </w:t>
      </w:r>
      <w:r>
        <w:rPr>
          <w:rFonts w:ascii="Cambria Math" w:hAnsi="Cambria Math" w:cs="Cambria Math"/>
          <w:color w:val="000000"/>
          <w:sz w:val="20"/>
          <w:szCs w:val="20"/>
        </w:rPr>
        <w:t>𝑐</w:t>
      </w:r>
      <w:r>
        <w:rPr>
          <w:rFonts w:ascii="Cambria Math" w:hAnsi="Cambria Math" w:cs="Cambria Math"/>
          <w:color w:val="000000"/>
          <w:position w:val="-4"/>
          <w:sz w:val="14"/>
          <w:szCs w:val="14"/>
        </w:rPr>
        <w:t xml:space="preserve">    </w:t>
      </w:r>
      <w:r>
        <w:rPr>
          <w:rFonts w:cs="Cambria"/>
          <w:color w:val="000000"/>
          <w:sz w:val="20"/>
          <w:szCs w:val="20"/>
        </w:rPr>
        <w:t xml:space="preserve">at </w:t>
      </w:r>
      <w:r>
        <w:rPr>
          <w:rFonts w:ascii="Cambria Math" w:hAnsi="Cambria Math" w:cs="Cambria Math"/>
          <w:color w:val="000000"/>
          <w:sz w:val="20"/>
          <w:szCs w:val="20"/>
        </w:rPr>
        <w:t xml:space="preserve">𝑀 = 1 </w:t>
      </w:r>
      <w:r>
        <w:rPr>
          <w:rFonts w:cs="Cambria"/>
          <w:color w:val="000000"/>
          <w:sz w:val="20"/>
          <w:szCs w:val="20"/>
        </w:rPr>
        <w:t xml:space="preserve">Column i. is the low state at minimal </w:t>
      </w:r>
      <w:r>
        <w:rPr>
          <w:rFonts w:ascii="Cambria Math" w:hAnsi="Cambria Math" w:cs="Cambria Math"/>
          <w:color w:val="000000"/>
          <w:sz w:val="20"/>
          <w:szCs w:val="20"/>
        </w:rPr>
        <w:t>(𝜎, 𝜙)</w:t>
      </w:r>
      <w:r>
        <w:rPr>
          <w:rFonts w:cs="Cambria"/>
          <w:color w:val="000000"/>
          <w:sz w:val="20"/>
          <w:szCs w:val="20"/>
        </w:rPr>
        <w:t xml:space="preserve">. ii. is the intermediate state and minimal </w:t>
      </w:r>
      <w:r>
        <w:rPr>
          <w:rFonts w:ascii="Cambria Math" w:hAnsi="Cambria Math" w:cs="Cambria Math"/>
          <w:color w:val="000000"/>
          <w:sz w:val="20"/>
          <w:szCs w:val="20"/>
        </w:rPr>
        <w:t>𝜎</w:t>
      </w:r>
      <w:r>
        <w:rPr>
          <w:rFonts w:cs="Cambria"/>
          <w:color w:val="000000"/>
          <w:sz w:val="20"/>
          <w:szCs w:val="20"/>
        </w:rPr>
        <w:t xml:space="preserve">, maximal </w:t>
      </w:r>
      <w:r>
        <w:rPr>
          <w:rFonts w:ascii="Cambria Math" w:hAnsi="Cambria Math" w:cs="Cambria Math"/>
          <w:color w:val="000000"/>
          <w:sz w:val="20"/>
          <w:szCs w:val="20"/>
        </w:rPr>
        <w:t>𝜙</w:t>
      </w:r>
      <w:r>
        <w:rPr>
          <w:rFonts w:cs="Cambria"/>
          <w:color w:val="000000"/>
          <w:sz w:val="20"/>
          <w:szCs w:val="20"/>
        </w:rPr>
        <w:t xml:space="preserve">, iii. an unstable at </w:t>
      </w:r>
      <w:r>
        <w:rPr>
          <w:rFonts w:ascii="Cambria Math" w:hAnsi="Cambria Math" w:cs="Cambria Math"/>
          <w:color w:val="000000"/>
          <w:sz w:val="20"/>
          <w:szCs w:val="20"/>
        </w:rPr>
        <w:t xml:space="preserve">𝑡 = 500 </w:t>
      </w:r>
      <w:r>
        <w:rPr>
          <w:rFonts w:cs="Cambria"/>
          <w:color w:val="000000"/>
          <w:sz w:val="20"/>
          <w:szCs w:val="20"/>
        </w:rPr>
        <w:t xml:space="preserve">state at </w:t>
      </w:r>
      <w:r>
        <w:rPr>
          <w:rFonts w:ascii="Cambria Math" w:hAnsi="Cambria Math" w:cs="Cambria Math"/>
          <w:color w:val="000000"/>
          <w:sz w:val="20"/>
          <w:szCs w:val="20"/>
        </w:rPr>
        <w:t xml:space="preserve">(𝜎,𝜙) </w:t>
      </w:r>
      <w:r>
        <w:rPr>
          <w:rFonts w:cs="Cambria"/>
          <w:color w:val="000000"/>
          <w:sz w:val="20"/>
          <w:szCs w:val="20"/>
        </w:rPr>
        <w:t xml:space="preserve">= 2.5,0.2, declining to the low state in row a., increasing to the high state in row b, and in a steady state of cover row c., and column iv. is the high state at maximal </w:t>
      </w:r>
      <w:r>
        <w:rPr>
          <w:rFonts w:ascii="Cambria Math" w:hAnsi="Cambria Math" w:cs="Cambria Math"/>
          <w:color w:val="000000"/>
          <w:sz w:val="20"/>
          <w:szCs w:val="20"/>
        </w:rPr>
        <w:t>(𝜎, 𝜙)</w:t>
      </w:r>
      <w:r w:rsidR="00FB3B6D">
        <w:rPr>
          <w:rFonts w:ascii="Cambria Math" w:hAnsi="Cambria Math" w:cs="Cambria Math"/>
          <w:color w:val="000000"/>
          <w:sz w:val="20"/>
          <w:szCs w:val="20"/>
        </w:rPr>
        <w:t>.</w:t>
      </w:r>
    </w:p>
    <w:p w14:paraId="53464A48" w14:textId="0209C9EF" w:rsidR="008D5968" w:rsidRDefault="00FB3B6D">
      <w:pPr>
        <w:rPr>
          <w:rFonts w:ascii="Cambria Math" w:hAnsi="Cambria Math" w:cs="Cambria Math"/>
          <w:color w:val="000000"/>
          <w:sz w:val="20"/>
          <w:szCs w:val="20"/>
        </w:rPr>
      </w:pPr>
      <w:r>
        <w:rPr>
          <w:rFonts w:ascii="Cambria Math" w:hAnsi="Cambria Math" w:cs="Cambria Math"/>
          <w:color w:val="000000"/>
          <w:sz w:val="20"/>
          <w:szCs w:val="20"/>
        </w:rPr>
        <w:br w:type="column"/>
      </w:r>
      <w:r w:rsidR="00840D82">
        <w:rPr>
          <w:rFonts w:ascii="Cambria Math" w:hAnsi="Cambria Math" w:cs="Cambria Math"/>
          <w:noProof/>
          <w:color w:val="000000"/>
          <w:sz w:val="20"/>
          <w:szCs w:val="20"/>
        </w:rPr>
        <w:drawing>
          <wp:inline distT="0" distB="0" distL="0" distR="0" wp14:anchorId="1662085F" wp14:editId="1A63184C">
            <wp:extent cx="3110865" cy="51644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10865" cy="5164455"/>
                    </a:xfrm>
                    <a:prstGeom prst="rect">
                      <a:avLst/>
                    </a:prstGeom>
                    <a:noFill/>
                    <a:ln>
                      <a:noFill/>
                    </a:ln>
                  </pic:spPr>
                </pic:pic>
              </a:graphicData>
            </a:graphic>
          </wp:inline>
        </w:drawing>
      </w:r>
    </w:p>
    <w:p w14:paraId="66A7CE69" w14:textId="77777777" w:rsidR="00840D82" w:rsidRDefault="00840D82">
      <w:pPr>
        <w:rPr>
          <w:rFonts w:ascii="Cambria Math" w:hAnsi="Cambria Math" w:cs="Cambria Math"/>
          <w:color w:val="000000"/>
          <w:sz w:val="20"/>
          <w:szCs w:val="20"/>
        </w:rPr>
      </w:pPr>
    </w:p>
    <w:p w14:paraId="4EA671D4" w14:textId="7C0EDFE6" w:rsidR="00840D82" w:rsidRDefault="00840D82">
      <w:pPr>
        <w:rPr>
          <w:rFonts w:ascii="Cambria Math" w:hAnsi="Cambria Math" w:cs="Cambria Math"/>
          <w:noProof/>
          <w:color w:val="000000"/>
          <w:sz w:val="20"/>
          <w:szCs w:val="20"/>
        </w:rPr>
      </w:pPr>
      <w:r>
        <w:rPr>
          <w:rFonts w:cs="Cambria"/>
          <w:color w:val="000000"/>
          <w:sz w:val="20"/>
          <w:szCs w:val="20"/>
        </w:rPr>
        <w:t xml:space="preserve">Figure 5: </w:t>
      </w:r>
      <w:r>
        <w:rPr>
          <w:rFonts w:ascii="Cambria Math" w:hAnsi="Cambria Math" w:cs="Cambria Math"/>
          <w:color w:val="000000"/>
          <w:sz w:val="20"/>
          <w:szCs w:val="20"/>
        </w:rPr>
        <w:t xml:space="preserve">(𝜎, 𝜙) </w:t>
      </w:r>
      <w:r>
        <w:rPr>
          <w:rFonts w:cs="Cambria"/>
          <w:color w:val="000000"/>
          <w:sz w:val="20"/>
          <w:szCs w:val="20"/>
        </w:rPr>
        <w:t xml:space="preserve">surfaces for land cover </w:t>
      </w:r>
      <m:oMath>
        <m:sSub>
          <m:sSubPr>
            <m:ctrlPr>
              <w:rPr>
                <w:rFonts w:ascii="Cambria Math" w:hAnsi="Cambria Math" w:cs="Cambria"/>
                <w:i/>
                <w:color w:val="000000"/>
                <w:sz w:val="20"/>
                <w:szCs w:val="20"/>
              </w:rPr>
            </m:ctrlPr>
          </m:sSubPr>
          <m:e>
            <m:r>
              <w:rPr>
                <w:rFonts w:ascii="Cambria Math" w:hAnsi="Cambria Math" w:cs="Cambria"/>
                <w:color w:val="000000"/>
                <w:sz w:val="20"/>
                <w:szCs w:val="20"/>
              </w:rPr>
              <m:t>c</m:t>
            </m:r>
          </m:e>
          <m:sub>
            <m:r>
              <w:rPr>
                <w:rFonts w:ascii="Cambria Math" w:hAnsi="Cambria Math" w:cs="Cambria"/>
                <w:color w:val="000000"/>
                <w:sz w:val="20"/>
                <w:szCs w:val="20"/>
              </w:rPr>
              <m:t>500</m:t>
            </m:r>
          </m:sub>
        </m:sSub>
      </m:oMath>
      <w:r>
        <w:rPr>
          <w:rFonts w:ascii="Cambria Math" w:hAnsi="Cambria Math" w:cs="Cambria Math"/>
          <w:color w:val="000000"/>
          <w:position w:val="-4"/>
          <w:sz w:val="14"/>
          <w:szCs w:val="14"/>
        </w:rPr>
        <w:t xml:space="preserve"> </w:t>
      </w:r>
      <w:r>
        <w:rPr>
          <w:rFonts w:cs="Cambria"/>
          <w:color w:val="000000"/>
          <w:sz w:val="20"/>
          <w:szCs w:val="20"/>
        </w:rPr>
        <w:t xml:space="preserve">after a mortality event at </w:t>
      </w:r>
      <w:r>
        <w:rPr>
          <w:rFonts w:ascii="Cambria Math" w:hAnsi="Cambria Math" w:cs="Cambria Math"/>
          <w:color w:val="000000"/>
          <w:sz w:val="20"/>
          <w:szCs w:val="20"/>
        </w:rPr>
        <w:t xml:space="preserve">𝑀 = 8 </w:t>
      </w:r>
      <w:r>
        <w:rPr>
          <w:rFonts w:cs="Cambria"/>
          <w:color w:val="000000"/>
          <w:sz w:val="20"/>
          <w:szCs w:val="20"/>
        </w:rPr>
        <w:t xml:space="preserve">and a recovery condition of </w:t>
      </w:r>
      <w:r>
        <w:rPr>
          <w:rFonts w:ascii="Cambria Math" w:hAnsi="Cambria Math" w:cs="Cambria Math"/>
          <w:color w:val="000000"/>
          <w:sz w:val="20"/>
          <w:szCs w:val="20"/>
        </w:rPr>
        <w:t xml:space="preserve">𝑀 = 0.4 </w:t>
      </w:r>
      <w:r>
        <w:rPr>
          <w:rFonts w:cs="Cambria"/>
          <w:color w:val="000000"/>
          <w:sz w:val="20"/>
          <w:szCs w:val="20"/>
        </w:rPr>
        <w:t xml:space="preserve">for greater clarity of recovery dynamics; similar dynamics are seen at </w:t>
      </w:r>
      <w:r>
        <w:rPr>
          <w:rFonts w:ascii="Cambria Math" w:hAnsi="Cambria Math" w:cs="Cambria Math"/>
          <w:color w:val="000000"/>
          <w:sz w:val="20"/>
          <w:szCs w:val="20"/>
        </w:rPr>
        <w:t xml:space="preserve">𝑀 = 1 </w:t>
      </w:r>
      <w:r>
        <w:rPr>
          <w:rFonts w:cs="Cambria"/>
          <w:color w:val="000000"/>
          <w:sz w:val="20"/>
          <w:szCs w:val="20"/>
        </w:rPr>
        <w:t xml:space="preserve">and </w:t>
      </w:r>
      <w:r>
        <w:rPr>
          <w:rFonts w:ascii="Cambria Math" w:hAnsi="Cambria Math" w:cs="Cambria Math"/>
          <w:color w:val="000000"/>
          <w:sz w:val="20"/>
          <w:szCs w:val="20"/>
        </w:rPr>
        <w:t>𝑐</w:t>
      </w:r>
      <w:r>
        <w:rPr>
          <w:rFonts w:ascii="Cambria Math" w:hAnsi="Cambria Math" w:cs="Cambria Math"/>
          <w:color w:val="000000"/>
          <w:position w:val="-4"/>
          <w:sz w:val="14"/>
          <w:szCs w:val="14"/>
        </w:rPr>
        <w:t xml:space="preserve">  </w:t>
      </w:r>
      <w:r>
        <w:rPr>
          <w:rFonts w:ascii="Cambria Math" w:hAnsi="Cambria Math" w:cs="Cambria Math"/>
          <w:color w:val="000000"/>
          <w:sz w:val="20"/>
          <w:szCs w:val="20"/>
        </w:rPr>
        <w:t xml:space="preserve">= 0.5 </w:t>
      </w:r>
      <w:r>
        <w:rPr>
          <w:rFonts w:cs="Cambria"/>
          <w:color w:val="000000"/>
          <w:sz w:val="20"/>
          <w:szCs w:val="20"/>
        </w:rPr>
        <w:t xml:space="preserve">and are excluded for conciseness, as are cases when </w:t>
      </w:r>
      <w:r>
        <w:rPr>
          <w:rFonts w:ascii="Cambria Math" w:hAnsi="Cambria Math" w:cs="Cambria Math"/>
          <w:color w:val="000000"/>
          <w:sz w:val="20"/>
          <w:szCs w:val="20"/>
        </w:rPr>
        <w:t xml:space="preserve">𝑀 &gt; 1 </w:t>
      </w:r>
      <w:r>
        <w:rPr>
          <w:rFonts w:cs="Cambria"/>
          <w:color w:val="000000"/>
          <w:sz w:val="20"/>
          <w:szCs w:val="20"/>
        </w:rPr>
        <w:t>as they exhibit zero recovery after the mortality event.</w:t>
      </w:r>
    </w:p>
    <w:p w14:paraId="73E892AF" w14:textId="7893F4A7" w:rsidR="00840D82" w:rsidRDefault="00502737">
      <w:pPr>
        <w:rPr>
          <w:rFonts w:cs="Cambria"/>
          <w:color w:val="000000"/>
          <w:sz w:val="20"/>
          <w:szCs w:val="20"/>
        </w:rPr>
      </w:pPr>
      <w:r>
        <w:rPr>
          <w:rFonts w:cs="Cambria"/>
          <w:color w:val="000000"/>
          <w:sz w:val="20"/>
          <w:szCs w:val="20"/>
        </w:rPr>
        <w:br w:type="column"/>
      </w:r>
      <w:r>
        <w:rPr>
          <w:rFonts w:cs="Cambria"/>
          <w:noProof/>
          <w:color w:val="000000"/>
          <w:sz w:val="20"/>
          <w:szCs w:val="20"/>
        </w:rPr>
        <w:drawing>
          <wp:inline distT="0" distB="0" distL="0" distR="0" wp14:anchorId="75AB5D03" wp14:editId="751C0CB8">
            <wp:extent cx="5943600" cy="4107758"/>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107758"/>
                    </a:xfrm>
                    <a:prstGeom prst="rect">
                      <a:avLst/>
                    </a:prstGeom>
                    <a:noFill/>
                    <a:ln>
                      <a:noFill/>
                    </a:ln>
                  </pic:spPr>
                </pic:pic>
              </a:graphicData>
            </a:graphic>
          </wp:inline>
        </w:drawing>
      </w:r>
    </w:p>
    <w:p w14:paraId="5020F351" w14:textId="77777777" w:rsidR="00502737" w:rsidRDefault="00502737">
      <w:pPr>
        <w:rPr>
          <w:rFonts w:cs="Cambria"/>
          <w:color w:val="000000"/>
          <w:sz w:val="20"/>
          <w:szCs w:val="20"/>
        </w:rPr>
      </w:pPr>
    </w:p>
    <w:p w14:paraId="1B2349AA" w14:textId="3A9C8C1C" w:rsidR="001E3EE5" w:rsidRDefault="00502737">
      <w:pPr>
        <w:rPr>
          <w:rFonts w:cs="Cambria"/>
          <w:color w:val="000000"/>
          <w:sz w:val="20"/>
          <w:szCs w:val="20"/>
        </w:rPr>
      </w:pPr>
      <w:r>
        <w:rPr>
          <w:rFonts w:cs="Cambria"/>
          <w:color w:val="000000"/>
          <w:sz w:val="20"/>
          <w:szCs w:val="20"/>
        </w:rPr>
        <w:t xml:space="preserve">Figure 6: Examples of recovering land cover </w:t>
      </w:r>
      <w:r>
        <w:rPr>
          <w:rFonts w:ascii="Cambria Math" w:hAnsi="Cambria Math" w:cs="Cambria Math"/>
          <w:color w:val="000000"/>
          <w:sz w:val="20"/>
          <w:szCs w:val="20"/>
        </w:rPr>
        <w:t>𝑐</w:t>
      </w:r>
      <w:r>
        <w:rPr>
          <w:rFonts w:ascii="Cambria Math" w:hAnsi="Cambria Math" w:cs="Cambria Math"/>
          <w:color w:val="000000"/>
          <w:position w:val="-4"/>
          <w:sz w:val="14"/>
          <w:szCs w:val="14"/>
        </w:rPr>
        <w:t xml:space="preserve">    </w:t>
      </w:r>
      <w:r>
        <w:rPr>
          <w:rFonts w:cs="Cambria"/>
          <w:color w:val="000000"/>
          <w:sz w:val="20"/>
          <w:szCs w:val="20"/>
        </w:rPr>
        <w:t xml:space="preserve">on the </w:t>
      </w:r>
      <w:r>
        <w:rPr>
          <w:rFonts w:ascii="Cambria Math" w:hAnsi="Cambria Math" w:cs="Cambria Math"/>
          <w:color w:val="000000"/>
          <w:sz w:val="20"/>
          <w:szCs w:val="20"/>
        </w:rPr>
        <w:t xml:space="preserve">(𝜎, 𝜙) </w:t>
      </w:r>
      <w:r>
        <w:rPr>
          <w:rFonts w:cs="Cambria"/>
          <w:color w:val="000000"/>
          <w:sz w:val="20"/>
          <w:szCs w:val="20"/>
        </w:rPr>
        <w:t xml:space="preserve">surface after a mortality event at </w:t>
      </w:r>
      <w:r>
        <w:rPr>
          <w:rFonts w:ascii="Cambria Math" w:hAnsi="Cambria Math" w:cs="Cambria Math"/>
          <w:color w:val="000000"/>
          <w:sz w:val="20"/>
          <w:szCs w:val="20"/>
        </w:rPr>
        <w:t xml:space="preserve">𝑀 = 8 </w:t>
      </w:r>
      <w:r>
        <w:rPr>
          <w:rFonts w:cs="Cambria"/>
          <w:color w:val="000000"/>
          <w:sz w:val="20"/>
          <w:szCs w:val="20"/>
        </w:rPr>
        <w:t xml:space="preserve">and a recovery condition of </w:t>
      </w:r>
      <w:r>
        <w:rPr>
          <w:rFonts w:ascii="Cambria Math" w:hAnsi="Cambria Math" w:cs="Cambria Math"/>
          <w:color w:val="000000"/>
          <w:sz w:val="20"/>
          <w:szCs w:val="20"/>
        </w:rPr>
        <w:t xml:space="preserve">𝑀 = 0.4 </w:t>
      </w:r>
      <w:r>
        <w:rPr>
          <w:rFonts w:cs="Cambria"/>
          <w:color w:val="000000"/>
          <w:sz w:val="20"/>
          <w:szCs w:val="20"/>
        </w:rPr>
        <w:t>for greater clarity of recovery dynamics. Examples from the middle of the surface (</w:t>
      </w:r>
      <w:r>
        <w:rPr>
          <w:rFonts w:ascii="Cambria Math" w:hAnsi="Cambria Math" w:cs="Cambria Math"/>
          <w:color w:val="000000"/>
          <w:sz w:val="20"/>
          <w:szCs w:val="20"/>
        </w:rPr>
        <w:t>(𝜎, 𝜙) = 0.25, 2.0</w:t>
      </w:r>
      <w:r>
        <w:rPr>
          <w:rFonts w:cs="Cambria"/>
          <w:color w:val="000000"/>
          <w:sz w:val="20"/>
          <w:szCs w:val="20"/>
        </w:rPr>
        <w:t>) are less relevant so column iii. is excluded.</w:t>
      </w:r>
    </w:p>
    <w:p w14:paraId="1296B4A3" w14:textId="08921FA8" w:rsidR="00502737" w:rsidRDefault="001E3EE5">
      <w:pPr>
        <w:rPr>
          <w:rFonts w:cs="Cambria"/>
          <w:color w:val="000000"/>
          <w:sz w:val="20"/>
          <w:szCs w:val="20"/>
        </w:rPr>
      </w:pPr>
      <w:r>
        <w:rPr>
          <w:rFonts w:cs="Cambria"/>
          <w:color w:val="000000"/>
          <w:sz w:val="20"/>
          <w:szCs w:val="20"/>
        </w:rPr>
        <w:br w:type="column"/>
      </w:r>
      <w:r>
        <w:rPr>
          <w:rFonts w:cs="Cambria"/>
          <w:noProof/>
          <w:color w:val="000000"/>
          <w:sz w:val="20"/>
          <w:szCs w:val="20"/>
        </w:rPr>
        <w:drawing>
          <wp:inline distT="0" distB="0" distL="0" distR="0" wp14:anchorId="328EBF9C" wp14:editId="4B9A155C">
            <wp:extent cx="5943600" cy="16122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612280"/>
                    </a:xfrm>
                    <a:prstGeom prst="rect">
                      <a:avLst/>
                    </a:prstGeom>
                    <a:noFill/>
                    <a:ln>
                      <a:noFill/>
                    </a:ln>
                  </pic:spPr>
                </pic:pic>
              </a:graphicData>
            </a:graphic>
          </wp:inline>
        </w:drawing>
      </w:r>
    </w:p>
    <w:p w14:paraId="02F95C07" w14:textId="77777777" w:rsidR="001E3EE5" w:rsidRDefault="001E3EE5">
      <w:pPr>
        <w:rPr>
          <w:rFonts w:cs="Cambria"/>
          <w:color w:val="000000"/>
          <w:sz w:val="20"/>
          <w:szCs w:val="20"/>
        </w:rPr>
      </w:pPr>
    </w:p>
    <w:p w14:paraId="7132508C" w14:textId="60CA2B04" w:rsidR="001E3EE5" w:rsidRPr="00A34163" w:rsidRDefault="001E3EE5">
      <w:pPr>
        <w:rPr>
          <w:rFonts w:cs="Cambria"/>
          <w:color w:val="000000"/>
          <w:sz w:val="20"/>
          <w:szCs w:val="20"/>
        </w:rPr>
      </w:pPr>
      <w:r>
        <w:rPr>
          <w:rFonts w:cs="Cambria"/>
          <w:color w:val="000000"/>
          <w:sz w:val="20"/>
          <w:szCs w:val="20"/>
        </w:rPr>
        <w:t xml:space="preserve">Figure 7: Revising the expected change space in  igure 1, in diagram a. we  ind a broad similarity with expectations from  igure 1 with some revisions. Only the minimal and maximal corners in </w:t>
      </w:r>
      <w:r>
        <w:rPr>
          <w:rFonts w:ascii="Cambria Math" w:hAnsi="Cambria Math" w:cs="Cambria Math"/>
          <w:color w:val="000000"/>
          <w:sz w:val="20"/>
          <w:szCs w:val="20"/>
        </w:rPr>
        <w:t xml:space="preserve">(𝜎, 𝜙) </w:t>
      </w:r>
      <w:r>
        <w:rPr>
          <w:rFonts w:cs="Cambria"/>
          <w:color w:val="000000"/>
          <w:sz w:val="20"/>
          <w:szCs w:val="20"/>
        </w:rPr>
        <w:t xml:space="preserve">space consistently manifest. The high </w:t>
      </w:r>
      <w:r>
        <w:rPr>
          <w:rFonts w:ascii="Cambria Math" w:hAnsi="Cambria Math" w:cs="Cambria Math"/>
          <w:color w:val="000000"/>
          <w:sz w:val="20"/>
          <w:szCs w:val="20"/>
        </w:rPr>
        <w:t>𝜎</w:t>
      </w:r>
      <w:r>
        <w:rPr>
          <w:rFonts w:cs="Cambria"/>
          <w:color w:val="000000"/>
          <w:sz w:val="20"/>
          <w:szCs w:val="20"/>
        </w:rPr>
        <w:t xml:space="preserve">, low </w:t>
      </w:r>
      <w:r>
        <w:rPr>
          <w:rFonts w:ascii="Cambria Math" w:hAnsi="Cambria Math" w:cs="Cambria Math"/>
          <w:color w:val="000000"/>
          <w:sz w:val="20"/>
          <w:szCs w:val="20"/>
        </w:rPr>
        <w:t xml:space="preserve">𝜙 </w:t>
      </w:r>
      <w:r>
        <w:rPr>
          <w:rFonts w:cs="Cambria"/>
          <w:color w:val="000000"/>
          <w:sz w:val="20"/>
          <w:szCs w:val="20"/>
        </w:rPr>
        <w:t>corner can take on the characteristics of either the minimal or maximal corner depending on starting population and outside conditions, with a greater tendency toward the unstructured state. The low-</w:t>
      </w:r>
      <w:r>
        <w:rPr>
          <w:rFonts w:ascii="Cambria Math" w:hAnsi="Cambria Math" w:cs="Cambria Math"/>
          <w:color w:val="000000"/>
          <w:sz w:val="20"/>
          <w:szCs w:val="20"/>
        </w:rPr>
        <w:t>𝜎</w:t>
      </w:r>
      <w:r>
        <w:rPr>
          <w:rFonts w:cs="Cambria"/>
          <w:color w:val="000000"/>
          <w:sz w:val="20"/>
          <w:szCs w:val="20"/>
        </w:rPr>
        <w:t>, high-</w:t>
      </w:r>
      <w:r>
        <w:rPr>
          <w:rFonts w:ascii="Cambria Math" w:hAnsi="Cambria Math" w:cs="Cambria Math"/>
          <w:color w:val="000000"/>
          <w:sz w:val="20"/>
          <w:szCs w:val="20"/>
        </w:rPr>
        <w:t xml:space="preserve">𝜙 </w:t>
      </w:r>
      <w:r>
        <w:rPr>
          <w:rFonts w:cs="Cambria"/>
          <w:color w:val="000000"/>
          <w:sz w:val="20"/>
          <w:szCs w:val="20"/>
        </w:rPr>
        <w:t xml:space="preserve">corner only manifests a distinct set of local-scale dynamics under stress, but converging towards the unstructured state when </w:t>
      </w:r>
      <w:r>
        <w:rPr>
          <w:rFonts w:ascii="Cambria Math" w:hAnsi="Cambria Math" w:cs="Cambria Math"/>
          <w:color w:val="000000"/>
          <w:sz w:val="20"/>
          <w:szCs w:val="20"/>
        </w:rPr>
        <w:t xml:space="preserve">𝑀 &lt; 1 </w:t>
      </w:r>
      <w:r>
        <w:rPr>
          <w:rFonts w:cs="Cambria"/>
          <w:color w:val="000000"/>
          <w:sz w:val="20"/>
          <w:szCs w:val="20"/>
        </w:rPr>
        <w:t>(</w:t>
      </w:r>
      <w:r w:rsidR="00AB528D">
        <w:rPr>
          <w:rFonts w:cs="Cambria"/>
          <w:color w:val="000000"/>
          <w:sz w:val="20"/>
          <w:szCs w:val="20"/>
        </w:rPr>
        <w:t>f</w:t>
      </w:r>
      <w:r>
        <w:rPr>
          <w:rFonts w:cs="Cambria"/>
          <w:color w:val="000000"/>
          <w:sz w:val="20"/>
          <w:szCs w:val="20"/>
        </w:rPr>
        <w:t xml:space="preserve">igure 3). Under greater stress or after a mortality event the dynamics in structure and cover are often reversed, with some cover remaining at the maximal </w:t>
      </w:r>
      <w:r>
        <w:rPr>
          <w:rFonts w:ascii="Cambria Math" w:hAnsi="Cambria Math" w:cs="Cambria Math"/>
          <w:color w:val="000000"/>
          <w:sz w:val="20"/>
          <w:szCs w:val="20"/>
        </w:rPr>
        <w:t xml:space="preserve">(𝜎, 𝜙) </w:t>
      </w:r>
      <w:r>
        <w:rPr>
          <w:rFonts w:cs="Cambria"/>
          <w:color w:val="000000"/>
          <w:sz w:val="20"/>
          <w:szCs w:val="20"/>
        </w:rPr>
        <w:t>corner without structure but stronger resilience or growth of locally self-organized cells in the higher-</w:t>
      </w:r>
      <w:r>
        <w:rPr>
          <w:rFonts w:ascii="Cambria Math" w:hAnsi="Cambria Math" w:cs="Cambria Math"/>
          <w:color w:val="000000"/>
          <w:sz w:val="20"/>
          <w:szCs w:val="20"/>
        </w:rPr>
        <w:t xml:space="preserve">𝜙 </w:t>
      </w:r>
      <w:r>
        <w:rPr>
          <w:rFonts w:cs="Cambria"/>
          <w:color w:val="000000"/>
          <w:sz w:val="20"/>
          <w:szCs w:val="20"/>
        </w:rPr>
        <w:t>area, which lead the recovery of the landscape (</w:t>
      </w:r>
      <w:r w:rsidR="00AB528D">
        <w:rPr>
          <w:rFonts w:cs="Cambria"/>
          <w:color w:val="000000"/>
          <w:sz w:val="20"/>
          <w:szCs w:val="20"/>
        </w:rPr>
        <w:t>f</w:t>
      </w:r>
      <w:bookmarkStart w:id="0" w:name="_GoBack"/>
      <w:bookmarkEnd w:id="0"/>
      <w:r>
        <w:rPr>
          <w:rFonts w:cs="Cambria"/>
          <w:color w:val="000000"/>
          <w:sz w:val="20"/>
          <w:szCs w:val="20"/>
        </w:rPr>
        <w:t>igure 5)</w:t>
      </w:r>
      <w:r w:rsidR="00AB528D">
        <w:rPr>
          <w:rFonts w:cs="Cambria"/>
          <w:color w:val="000000"/>
          <w:sz w:val="20"/>
          <w:szCs w:val="20"/>
        </w:rPr>
        <w:t>.</w:t>
      </w:r>
    </w:p>
    <w:sectPr w:rsidR="001E3EE5" w:rsidRPr="00A34163" w:rsidSect="001E482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Frutiger Neue LT W1G Book">
    <w:panose1 w:val="020B0503040304020203"/>
    <w:charset w:val="00"/>
    <w:family w:val="auto"/>
    <w:pitch w:val="variable"/>
    <w:sig w:usb0="A00002AF" w:usb1="5000207B" w:usb2="00000000" w:usb3="00000000" w:csb0="000000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0961"/>
    <w:rsid w:val="001E3EE5"/>
    <w:rsid w:val="001E4821"/>
    <w:rsid w:val="00264CCB"/>
    <w:rsid w:val="002B0B82"/>
    <w:rsid w:val="00502737"/>
    <w:rsid w:val="005B5687"/>
    <w:rsid w:val="00630961"/>
    <w:rsid w:val="00840D82"/>
    <w:rsid w:val="008D5968"/>
    <w:rsid w:val="00A34163"/>
    <w:rsid w:val="00AB528D"/>
    <w:rsid w:val="00E7507F"/>
    <w:rsid w:val="00FB3B6D"/>
    <w:rsid w:val="00FE5D8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86D44C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heme="minorEastAsia" w:hAnsi="Cambria" w:cs="Frutiger Neue LT W1G Book"/>
        <w:sz w:val="24"/>
        <w:szCs w:val="24"/>
        <w:lang w:val="en-US" w:eastAsia="en-US" w:bidi="ar-SA"/>
        <w14:numForm w14:val="lining"/>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3416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34163"/>
    <w:rPr>
      <w:rFonts w:ascii="Lucida Grande" w:hAnsi="Lucida Grande" w:cs="Lucida Grande"/>
      <w:sz w:val="18"/>
      <w:szCs w:val="18"/>
    </w:rPr>
  </w:style>
  <w:style w:type="character" w:styleId="PlaceholderText">
    <w:name w:val="Placeholder Text"/>
    <w:basedOn w:val="DefaultParagraphFont"/>
    <w:uiPriority w:val="99"/>
    <w:semiHidden/>
    <w:rsid w:val="00A34163"/>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Theme="minorEastAsia" w:hAnsi="Cambria" w:cs="Frutiger Neue LT W1G Book"/>
        <w:sz w:val="24"/>
        <w:szCs w:val="24"/>
        <w:lang w:val="en-US" w:eastAsia="en-US" w:bidi="ar-SA"/>
        <w14:numForm w14:val="lining"/>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3416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34163"/>
    <w:rPr>
      <w:rFonts w:ascii="Lucida Grande" w:hAnsi="Lucida Grande" w:cs="Lucida Grande"/>
      <w:sz w:val="18"/>
      <w:szCs w:val="18"/>
    </w:rPr>
  </w:style>
  <w:style w:type="character" w:styleId="PlaceholderText">
    <w:name w:val="Placeholder Text"/>
    <w:basedOn w:val="DefaultParagraphFont"/>
    <w:uiPriority w:val="99"/>
    <w:semiHidden/>
    <w:rsid w:val="00A3416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08F02B-E0D1-BD40-8F2F-6F23135847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8</Pages>
  <Words>614</Words>
  <Characters>3501</Characters>
  <Application>Microsoft Macintosh Word</Application>
  <DocSecurity>0</DocSecurity>
  <Lines>29</Lines>
  <Paragraphs>8</Paragraphs>
  <ScaleCrop>false</ScaleCrop>
  <Company>University of Illinois at Chicago</Company>
  <LinksUpToDate>false</LinksUpToDate>
  <CharactersWithSpaces>4107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Naylor</dc:creator>
  <cp:keywords/>
  <dc:description/>
  <cp:lastModifiedBy>Alexander Naylor</cp:lastModifiedBy>
  <cp:revision>13</cp:revision>
  <dcterms:created xsi:type="dcterms:W3CDTF">2020-07-30T19:28:00Z</dcterms:created>
  <dcterms:modified xsi:type="dcterms:W3CDTF">2020-07-31T19:42:00Z</dcterms:modified>
</cp:coreProperties>
</file>